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48" w:rsidRDefault="004760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6048" w:rsidRDefault="00476048">
      <w:pPr>
        <w:pStyle w:val="ConsPlusNormal"/>
        <w:jc w:val="both"/>
        <w:outlineLvl w:val="0"/>
      </w:pPr>
    </w:p>
    <w:p w:rsidR="00476048" w:rsidRDefault="00476048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476048" w:rsidRDefault="00476048">
      <w:pPr>
        <w:pStyle w:val="ConsPlusTitle"/>
        <w:jc w:val="center"/>
      </w:pPr>
      <w:r>
        <w:t>И АТОМНОМУ НАДЗОРУ</w:t>
      </w:r>
    </w:p>
    <w:p w:rsidR="00476048" w:rsidRDefault="00476048">
      <w:pPr>
        <w:pStyle w:val="ConsPlusTitle"/>
        <w:jc w:val="center"/>
      </w:pPr>
    </w:p>
    <w:p w:rsidR="00476048" w:rsidRDefault="00476048">
      <w:pPr>
        <w:pStyle w:val="ConsPlusTitle"/>
        <w:jc w:val="center"/>
      </w:pPr>
      <w:r>
        <w:t>ПИСЬМО</w:t>
      </w:r>
    </w:p>
    <w:p w:rsidR="00476048" w:rsidRDefault="00476048">
      <w:pPr>
        <w:pStyle w:val="ConsPlusTitle"/>
        <w:jc w:val="center"/>
      </w:pPr>
      <w:r>
        <w:t>от 12 февраля 2007 г. N 04-09/169</w:t>
      </w:r>
    </w:p>
    <w:p w:rsidR="00476048" w:rsidRDefault="00476048">
      <w:pPr>
        <w:pStyle w:val="ConsPlusTitle"/>
        <w:jc w:val="center"/>
      </w:pPr>
    </w:p>
    <w:p w:rsidR="00476048" w:rsidRDefault="00476048">
      <w:pPr>
        <w:pStyle w:val="ConsPlusTitle"/>
        <w:jc w:val="center"/>
      </w:pPr>
      <w:r>
        <w:t>О ПЛАТЕ ЗА НЕГАТИВНОЕ ВОЗДЕЙСТВИЕ НА ОКРУЖАЮЩУЮ СРЕДУ</w:t>
      </w:r>
    </w:p>
    <w:p w:rsidR="00476048" w:rsidRDefault="00476048">
      <w:pPr>
        <w:pStyle w:val="ConsPlusNormal"/>
        <w:ind w:firstLine="540"/>
        <w:jc w:val="both"/>
      </w:pPr>
    </w:p>
    <w:p w:rsidR="00476048" w:rsidRDefault="00476048">
      <w:pPr>
        <w:pStyle w:val="ConsPlusNormal"/>
        <w:ind w:firstLine="540"/>
        <w:jc w:val="both"/>
      </w:pPr>
      <w:r>
        <w:t>Финансовое управление Федеральной службы по экологическому, технологическому и атомному надзору &lt;...&gt; по вопросу начисления платы за негативное воздействие на окружающую среду (далее - плата) сообщает следующее.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 xml:space="preserve">1. В соответствии с </w:t>
      </w:r>
      <w:hyperlink r:id="rId5" w:history="1">
        <w:r>
          <w:rPr>
            <w:color w:val="0000FF"/>
          </w:rPr>
          <w:t>пунктом 1 статьи 16</w:t>
        </w:r>
      </w:hyperlink>
      <w:r>
        <w:t xml:space="preserve"> Федерального закона от 10.01.2002 N 7-ФЗ "Об охране окружающей среды" негативное воздействие на окружающую среду является платным.</w:t>
      </w:r>
    </w:p>
    <w:p w:rsidR="00476048" w:rsidRDefault="00476048">
      <w:pPr>
        <w:pStyle w:val="ConsPlusNormal"/>
        <w:spacing w:before="220"/>
        <w:ind w:firstLine="540"/>
        <w:jc w:val="both"/>
      </w:pPr>
      <w:proofErr w:type="gramStart"/>
      <w:r>
        <w:t xml:space="preserve">Плата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определения платы и ее предельных размеров за загрязнение окружающей среды, утвержденным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28.08.92 N 632 "Об утверждении порядка определения платы и ее предельных размеров за загрязнение окружающей природной среды, размещение отходов, другие виды негативного вредного воздействия", осуществляется за выбросы, сбросы и размещение отходов производства и потребления.</w:t>
      </w:r>
      <w:proofErr w:type="gramEnd"/>
    </w:p>
    <w:p w:rsidR="00476048" w:rsidRDefault="0047604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Определению</w:t>
        </w:r>
      </w:hyperlink>
      <w:r>
        <w:t xml:space="preserve"> Конституционного Суда Российской Федерации от 10.12.2002 N 284-О обязанность по внесению платы распространяется на хозяйствующие субъекты (юридические лица и индивидуальные предприниматели), оказывающие негативное воздействие.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Таким образом, индивидуальные предприниматели, предметом деятельности которых является оказание услуг, торговля товарами и иные виды деятельности, негативно воздействующие на окружающую среду, должны исполнять обязанности плательщиков в полном объеме.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В целях предотвращения негативного воздействия на окружающую среду хозяйственной и иной деятельности для юридических и физических лиц устанавливаются нормативы допустимого воздействия на окружающую среду.</w:t>
      </w:r>
    </w:p>
    <w:p w:rsidR="00476048" w:rsidRDefault="00476048">
      <w:pPr>
        <w:pStyle w:val="ConsPlusNormal"/>
        <w:spacing w:before="220"/>
        <w:ind w:firstLine="540"/>
        <w:jc w:val="both"/>
      </w:pPr>
      <w:proofErr w:type="gramStart"/>
      <w:r>
        <w:t xml:space="preserve">Плательщики платы за негативное воздействие на окружающую среду ставятся на учет в соответствии с Приказами Ростехнадзора от 02.08.2005 </w:t>
      </w:r>
      <w:hyperlink r:id="rId9" w:history="1">
        <w:r>
          <w:rPr>
            <w:color w:val="0000FF"/>
          </w:rPr>
          <w:t>N 545</w:t>
        </w:r>
      </w:hyperlink>
      <w:r>
        <w:t xml:space="preserve"> "Об утверждении порядка постановки на учет плательщиков платы за негативное воздействие на окружающую среду в территориальных органах Федеральной службы по экологическому, технологическому и атомному надзору" и от 24.11.2005 </w:t>
      </w:r>
      <w:hyperlink r:id="rId10" w:history="1">
        <w:r>
          <w:rPr>
            <w:color w:val="0000FF"/>
          </w:rPr>
          <w:t>N 867</w:t>
        </w:r>
      </w:hyperlink>
      <w:r>
        <w:t xml:space="preserve"> "О ведении территориальными органами Федеральной службы по экологическому, технологическому и</w:t>
      </w:r>
      <w:proofErr w:type="gramEnd"/>
      <w:r>
        <w:t xml:space="preserve"> атомному надзору государственного учета объектов, оказывающих негативное воздействие на окружающую среду" по каждому объекту, оказывающему негативное воздействие на окружающую среду: стационарному и/или передвижному (транспортные средства и др., работающие на бензине, дизельном топливе, керосине, сжиженном (сжатом) нефтяном или природном газе).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2. На основании вышеизложенного, организация, имеющая передвижной объект негативного воздействия, становится на учет в качестве плательщика в соответствующем управлении Ростехнадзора (по месту государственной регистрации передвижного объекта, а при отсутствии такового - по месту регистрации владельца передвижного объекта).</w:t>
      </w:r>
    </w:p>
    <w:p w:rsidR="00476048" w:rsidRDefault="00476048">
      <w:pPr>
        <w:pStyle w:val="ConsPlusNormal"/>
        <w:spacing w:before="220"/>
        <w:ind w:firstLine="540"/>
        <w:jc w:val="both"/>
      </w:pPr>
      <w:proofErr w:type="gramStart"/>
      <w:r>
        <w:t xml:space="preserve">Плательщики по окончании каждого отчетного периода (квартала) обязаны представлять в </w:t>
      </w:r>
      <w:r>
        <w:lastRenderedPageBreak/>
        <w:t xml:space="preserve">территориальные органы Ростехнадзора расчет платы за негативное воздействие на окружающую среду по </w:t>
      </w:r>
      <w:hyperlink r:id="rId11" w:history="1">
        <w:r>
          <w:rPr>
            <w:color w:val="0000FF"/>
          </w:rPr>
          <w:t>форме</w:t>
        </w:r>
      </w:hyperlink>
      <w:r>
        <w:t xml:space="preserve"> и в </w:t>
      </w:r>
      <w:hyperlink r:id="rId12" w:history="1">
        <w:r>
          <w:rPr>
            <w:color w:val="0000FF"/>
          </w:rPr>
          <w:t>порядке</w:t>
        </w:r>
      </w:hyperlink>
      <w:r>
        <w:t>, установленном Приказом Ростехнадзора от 23.05.2006 N 459 "Об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среду".</w:t>
      </w:r>
      <w:proofErr w:type="gramEnd"/>
    </w:p>
    <w:p w:rsidR="00476048" w:rsidRDefault="00476048">
      <w:pPr>
        <w:pStyle w:val="ConsPlusNormal"/>
        <w:spacing w:before="220"/>
        <w:ind w:firstLine="540"/>
        <w:jc w:val="both"/>
      </w:pPr>
      <w:r>
        <w:t>3. В отношении отходов, образованных арендатором, отмечаем, что для целей определения плательщика платы является приоритетным вопрос определения лица, являющегося собственником отходов.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Вопрос возникновения права собственности на образованные арендатором отходы специально не регулируется гражданским законодательством. В то же время вопрос собственности на отходы может быть оговорен в договоре аренды между сторонами.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 xml:space="preserve">Если такой вопрос не урегулирован в договоре аренды между сторонами, то следует руководствоваться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24.06.98 N 89-ФЗ "Об отходах производства и потребления" (далее - Закон N 89-ФЗ).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пункту 1 статьи 4</w:t>
        </w:r>
      </w:hyperlink>
      <w:r>
        <w:t xml:space="preserve"> Закона N 89-ФЗ,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пункту 2 статьи 4</w:t>
        </w:r>
      </w:hyperlink>
      <w:r>
        <w:t xml:space="preserve"> Закона N 89-ФЗ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</w:p>
    <w:p w:rsidR="00476048" w:rsidRDefault="0047604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отходы, согласно </w:t>
      </w:r>
      <w:hyperlink r:id="rId16" w:history="1">
        <w:r>
          <w:rPr>
            <w:color w:val="0000FF"/>
          </w:rPr>
          <w:t>пункту 4 статьи 4</w:t>
        </w:r>
      </w:hyperlink>
      <w:r>
        <w:t xml:space="preserve"> Закона N 89-ФЗ,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</w:t>
      </w:r>
      <w:proofErr w:type="gramEnd"/>
      <w:r>
        <w:t xml:space="preserve"> действия, свидетельствующие об обращении их в собственность в соответствии с гражданским законодательством.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Брошенные арендатором отходы, например, оставленные в мусорном контейнере арендодателя, становятся собственностью последнего.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Расчет платы за размещение отходов зависит от объема отходов и класса опасности и не зависит от количества работников и арендуемой площади. Иные платежи, рассчитываемые арендодателем помещения, к плате за негативное воздействие не относятся.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При этом арендатор вправе самостоятельно исполнять обязанности плательщика и соответственно самостоятельно производить расчет платы, прописав такие отношения в договоре аренды либо обратив данные отходы в собственность, или иным способом, предусмотренным действующим законодательством, осуществляя размещение от своего имени и за свой счет.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Учитывая изложенное, в настоящее время Вы являетесь плательщиком только по одному основанию - за передвижной источник (автомобиль).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4. Вопрос получения лимитов на размещение отходов тесно связан с исполнением обязанности плательщика. Так, при отсутствии утвержденных лимитов на размещение отходов при расчете платы весь объем размещаемых отходов считается сверхлимитным, то есть с повышающим коэффициентом 5 к нормативам платы.</w:t>
      </w:r>
    </w:p>
    <w:p w:rsidR="00476048" w:rsidRDefault="00476048">
      <w:pPr>
        <w:pStyle w:val="ConsPlusNormal"/>
        <w:spacing w:before="220"/>
        <w:ind w:firstLine="540"/>
        <w:jc w:val="both"/>
      </w:pPr>
      <w:r>
        <w:t>Принятие решения о целесообразности ведения экологического паспорта остается за природопользователем.</w:t>
      </w:r>
    </w:p>
    <w:p w:rsidR="00476048" w:rsidRDefault="00476048">
      <w:pPr>
        <w:pStyle w:val="ConsPlusNormal"/>
        <w:ind w:firstLine="540"/>
        <w:jc w:val="both"/>
      </w:pPr>
    </w:p>
    <w:p w:rsidR="00476048" w:rsidRDefault="00476048">
      <w:pPr>
        <w:pStyle w:val="ConsPlusNormal"/>
        <w:jc w:val="right"/>
      </w:pPr>
      <w:r>
        <w:lastRenderedPageBreak/>
        <w:t>Заместитель начальника</w:t>
      </w:r>
    </w:p>
    <w:p w:rsidR="00476048" w:rsidRDefault="00476048">
      <w:pPr>
        <w:pStyle w:val="ConsPlusNormal"/>
        <w:jc w:val="right"/>
      </w:pPr>
      <w:r>
        <w:t>Финансового управления</w:t>
      </w:r>
    </w:p>
    <w:p w:rsidR="00476048" w:rsidRDefault="00476048">
      <w:pPr>
        <w:pStyle w:val="ConsPlusNormal"/>
        <w:jc w:val="right"/>
      </w:pPr>
      <w:r>
        <w:t>Федеральной службы</w:t>
      </w:r>
    </w:p>
    <w:p w:rsidR="00476048" w:rsidRDefault="00476048">
      <w:pPr>
        <w:pStyle w:val="ConsPlusNormal"/>
        <w:jc w:val="right"/>
      </w:pPr>
      <w:r>
        <w:t>по экологическому, технологическому</w:t>
      </w:r>
    </w:p>
    <w:p w:rsidR="00476048" w:rsidRDefault="00476048">
      <w:pPr>
        <w:pStyle w:val="ConsPlusNormal"/>
        <w:jc w:val="right"/>
      </w:pPr>
      <w:r>
        <w:t>и атомному надзору</w:t>
      </w:r>
    </w:p>
    <w:p w:rsidR="00476048" w:rsidRDefault="00476048">
      <w:pPr>
        <w:pStyle w:val="ConsPlusNormal"/>
        <w:jc w:val="right"/>
      </w:pPr>
      <w:r>
        <w:t>А.В.ЛАТЫПОВА</w:t>
      </w:r>
    </w:p>
    <w:p w:rsidR="00476048" w:rsidRDefault="00476048">
      <w:pPr>
        <w:pStyle w:val="ConsPlusNormal"/>
        <w:ind w:firstLine="540"/>
        <w:jc w:val="both"/>
      </w:pPr>
    </w:p>
    <w:p w:rsidR="00476048" w:rsidRDefault="00476048">
      <w:pPr>
        <w:pStyle w:val="ConsPlusNormal"/>
        <w:ind w:firstLine="540"/>
        <w:jc w:val="both"/>
      </w:pPr>
    </w:p>
    <w:p w:rsidR="00476048" w:rsidRDefault="00476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A31" w:rsidRDefault="00FB5A31"/>
    <w:sectPr w:rsidR="00FB5A31" w:rsidSect="003A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76048"/>
    <w:rsid w:val="00476048"/>
    <w:rsid w:val="00A45D9C"/>
    <w:rsid w:val="00F00E9D"/>
    <w:rsid w:val="00FB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C"/>
  </w:style>
  <w:style w:type="paragraph" w:styleId="1">
    <w:name w:val="heading 1"/>
    <w:basedOn w:val="a"/>
    <w:link w:val="10"/>
    <w:uiPriority w:val="9"/>
    <w:qFormat/>
    <w:rsid w:val="00A45D9C"/>
    <w:pPr>
      <w:spacing w:before="161" w:after="161" w:line="240" w:lineRule="auto"/>
      <w:outlineLvl w:val="0"/>
    </w:pPr>
    <w:rPr>
      <w:rFonts w:ascii="Montserrat" w:eastAsia="Times New Roman" w:hAnsi="Montserrat" w:cs="Arial"/>
      <w:b/>
      <w:bCs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A45D9C"/>
    <w:pPr>
      <w:spacing w:before="100" w:beforeAutospacing="1" w:after="100" w:afterAutospacing="1" w:line="240" w:lineRule="auto"/>
      <w:outlineLvl w:val="1"/>
    </w:pPr>
    <w:rPr>
      <w:rFonts w:ascii="Montserrat" w:eastAsia="Times New Roman" w:hAnsi="Montserrat" w:cs="Arial"/>
      <w:b/>
      <w:bCs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A45D9C"/>
    <w:pPr>
      <w:spacing w:before="100" w:beforeAutospacing="1" w:after="100" w:afterAutospacing="1" w:line="240" w:lineRule="auto"/>
      <w:outlineLvl w:val="2"/>
    </w:pPr>
    <w:rPr>
      <w:rFonts w:ascii="Montserrat" w:eastAsia="Times New Roman" w:hAnsi="Montserrat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D9C"/>
    <w:rPr>
      <w:rFonts w:ascii="Montserrat" w:eastAsia="Times New Roman" w:hAnsi="Montserrat" w:cs="Arial"/>
      <w:b/>
      <w:bCs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D9C"/>
    <w:rPr>
      <w:rFonts w:ascii="Montserrat" w:eastAsia="Times New Roman" w:hAnsi="Montserrat" w:cs="Arial"/>
      <w:b/>
      <w:bCs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D9C"/>
    <w:rPr>
      <w:rFonts w:ascii="Montserrat" w:eastAsia="Times New Roman" w:hAnsi="Montserrat" w:cs="Arial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5D9C"/>
    <w:rPr>
      <w:b/>
      <w:bCs/>
    </w:rPr>
  </w:style>
  <w:style w:type="paragraph" w:customStyle="1" w:styleId="ConsPlusNormal">
    <w:name w:val="ConsPlusNormal"/>
    <w:rsid w:val="00476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2C736CB1540D916359B6A097643815F090E93F501E94EB4D88D9EAA3FEDC2578E37A3B14069E746CB4A4C42099E2EA1ACD3DBD71E9El0aAL" TargetMode="External"/><Relationship Id="rId13" Type="http://schemas.openxmlformats.org/officeDocument/2006/relationships/hyperlink" Target="consultantplus://offline/ref=7C32C736CB1540D916359B6A097643815801079DF20EB444BC81819CAD30B2D542C763AEB04774E64581190815l0a5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2C736CB1540D916359B6A097643815A0D0698F403B444BC81819CAD30B2D542C763AEB04774E64581190815l0a5L" TargetMode="External"/><Relationship Id="rId12" Type="http://schemas.openxmlformats.org/officeDocument/2006/relationships/hyperlink" Target="consultantplus://offline/ref=7C32C736CB1540D916359B6A097643815D080993F001E94EB4D88D9EAA3FEDC2578E37A3B14268E546CB4A4C42099E2EA1ACD3DBD71E9El0aA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32C736CB1540D916359B6A097643815801079DF20EB444BC81819CAD30B2D550C73BA2B1406AE249944F5953519228B8B2DBCDCB1C9C09lAa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2C736CB1540D916359B6A097643815A0D0698F403B444BC81819CAD30B2D550C73BA2B1406AE74A944F5953519228B8B2DBCDCB1C9C09lAaCL" TargetMode="External"/><Relationship Id="rId11" Type="http://schemas.openxmlformats.org/officeDocument/2006/relationships/hyperlink" Target="consultantplus://offline/ref=7C32C736CB1540D916359B6A097643815D080993F001E94EB4D88D9EAA3FEDC2578E37A3B1406BE246CB4A4C42099E2EA1ACD3DBD71E9El0aAL" TargetMode="External"/><Relationship Id="rId5" Type="http://schemas.openxmlformats.org/officeDocument/2006/relationships/hyperlink" Target="consultantplus://offline/ref=7C32C736CB1540D916359B6A097643815801079EF30EB444BC81819CAD30B2D550C73BA2B1406FEE4F944F5953519228B8B2DBCDCB1C9C09lAaCL" TargetMode="External"/><Relationship Id="rId15" Type="http://schemas.openxmlformats.org/officeDocument/2006/relationships/hyperlink" Target="consultantplus://offline/ref=7C32C736CB1540D916359B6A097643815801079DF20EB444BC81819CAD30B2D550C73BA2B1406AE24F944F5953519228B8B2DBCDCB1C9C09lAaCL" TargetMode="External"/><Relationship Id="rId10" Type="http://schemas.openxmlformats.org/officeDocument/2006/relationships/hyperlink" Target="consultantplus://offline/ref=7C32C736CB1540D9163585710C7643815A080C98F202B444BC81819CAD30B2D542C763AEB04774E64581190815l0a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32C736CB1540D9163585710C7643815D000B92F601E94EB4D88D9EAA3FEDD057D63BA2B65E6AEE539D1B0Al1a6L" TargetMode="External"/><Relationship Id="rId14" Type="http://schemas.openxmlformats.org/officeDocument/2006/relationships/hyperlink" Target="consultantplus://offline/ref=7C32C736CB1540D916359B6A097643815801079DF20EB444BC81819CAD30B2D550C73BA2B1406AE24C944F5953519228B8B2DBCDCB1C9C09lA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2021-08-17T11:26:00Z</dcterms:created>
  <dcterms:modified xsi:type="dcterms:W3CDTF">2021-08-17T11:28:00Z</dcterms:modified>
</cp:coreProperties>
</file>